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4.GemGebRefGBbg (Brandenburg) — Verwaltungseinheiten Amt Blankenfelde-Mahlow und Gemeinde Dahlewitz des Amtes Rangsdorf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Blankenfelde, Groß Kienitz und</w:t>
      </w:r>
    </w:p>
    <w:p>
      <w:r>
        <w:t xml:space="preserve">Mahlow des Amtes Blankenfelde-Mahlow sowie der Gemeinde Dahlewitz des Amtes</w:t>
      </w:r>
    </w:p>
    <w:p>
      <w:r>
        <w:t xml:space="preserve">Rangsdorf wird die neue Gemeinde Blankenfelde-Mahlow gebildet.</w:t>
      </w:r>
    </w:p>
    <w:p>
      <w:r>
        <w:t xml:space="preserve">(2) Das Amt Blankenfelde-Mahlow wird aufgelöst. Die</w:t>
      </w:r>
    </w:p>
    <w:p>
      <w:r>
        <w:t xml:space="preserve">Gemeinde Blankenfelde-Mahlow ist amtsfrei.</w:t>
      </w:r>
    </w:p>
    <w:p>
      <w:r>
        <w:rPr>
          <w:color w:val="555555"/>
          <w:sz w:val="17"/>
        </w:rPr>
        <w:t xml:space="preserve">Zitiervorschlag: § 16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