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4.GemGebRefGBbg (Brandenburg) — Verwaltungseinheiten Gemeinde Dallgow-Döberitz und Gemeinde Seeburg des Amtes Fahrland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Seeburg des Amtes Fahrland, Landkreis</w:t>
      </w:r>
    </w:p>
    <w:p>
      <w:r>
        <w:t xml:space="preserve">Potsdam-Mittelmark, wird in die amtsfreie Gemeinde Dallgow-Döberitz,</w:t>
      </w:r>
    </w:p>
    <w:p>
      <w:r>
        <w:t xml:space="preserve">Landkreis Havelland, eingegliedert.</w:t>
      </w:r>
    </w:p>
    <w:p>
      <w:r>
        <w:t xml:space="preserve">(2) Die Grenzen der Landkreise Havelland und Potsdam-Mittelmark</w:t>
      </w:r>
    </w:p>
    <w:p>
      <w:r>
        <w:t xml:space="preserve">werden entsprechend geändert.</w:t>
      </w:r>
    </w:p>
    <w:p>
      <w:r>
        <w:rPr>
          <w:color w:val="555555"/>
          <w:sz w:val="17"/>
        </w:rPr>
        <w:t xml:space="preserve">Zitiervorschlag: § 14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