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4.GemGebRefGBbg (Brandenburg) — Verwaltungseinheit Amt Ziesar</w:t>
      </w:r>
    </w:p>
    <w:p>
      <w:r>
        <w:rPr>
          <w:color w:val="555555"/>
          <w:sz w:val="18"/>
        </w:rPr>
        <w:t xml:space="preserve">Viertes Gesetz zur landesweiten Gemeindegebietsreform betreffend die Landkreise Havelland, Potsdam-Mittelmark, Teltow-Fläming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Gemeinde Rottstock wird in die Gemeinde Gräben</w:t>
      </w:r>
    </w:p>
    <w:p>
      <w:r>
        <w:t xml:space="preserve">eingegliedert.</w:t>
      </w:r>
    </w:p>
    <w:p>
      <w:r>
        <w:rPr>
          <w:color w:val="555555"/>
          <w:sz w:val="17"/>
        </w:rPr>
        <w:t xml:space="preserve">Zitiervorschlag: § 12 4.GemGebRefGBbg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https://recht.nulegal.eu/gesetze/4.GemGebRefGBbg/12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