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4.GemGebRefGBbg (Brandenburg) — Verwaltungseinheit Amt Treuenbrietzen</w:t>
      </w:r>
    </w:p>
    <w:p>
      <w:r>
        <w:rPr>
          <w:color w:val="555555"/>
          <w:sz w:val="18"/>
        </w:rPr>
        <w:t xml:space="preserve">Viertes Gesetz zur landesweiten Gemeindegebietsreform betreffend die Landkreise Havelland, Potsdam-Mittelmark, Teltow-Fläming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Lobbese, Lühsdorf und Marzahna werden in</w:t>
      </w:r>
    </w:p>
    <w:p>
      <w:r>
        <w:t xml:space="preserve">die Stadt Treuenbrietzen eingegliedert.</w:t>
      </w:r>
    </w:p>
    <w:p>
      <w:r>
        <w:t xml:space="preserve">(2) Das Amt Treuenbrietzen wird aufgelöst. Die Stadt</w:t>
      </w:r>
    </w:p>
    <w:p>
      <w:r>
        <w:t xml:space="preserve">Treuenbrietzen ist amtsfrei.</w:t>
      </w:r>
    </w:p>
    <w:p>
      <w:r>
        <w:rPr>
          <w:color w:val="555555"/>
          <w:sz w:val="17"/>
        </w:rPr>
        <w:t xml:space="preserve">Zitiervorschlag: § 11 4.GemGebRefGBbg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https://recht.nulegal.eu/gesetze/4.GemGebRefGBbg/11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