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4.GemGebRefGBbg (Brandenburg) — Verwaltungseinheit Amt Brieselang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Bredow und Zeestow werden in die Gemeinde</w:t>
      </w:r>
    </w:p>
    <w:p>
      <w:r>
        <w:t xml:space="preserve">Brieselang eingegliedert.</w:t>
      </w:r>
    </w:p>
    <w:p>
      <w:r>
        <w:t xml:space="preserve">(2) Das Amt Brieselang wird aufgelöst. Die Gemeinde</w:t>
      </w:r>
    </w:p>
    <w:p>
      <w:r>
        <w:t xml:space="preserve">Brieselang ist amtsfrei.</w:t>
      </w:r>
    </w:p>
    <w:p>
      <w:r>
        <w:rPr>
          <w:color w:val="555555"/>
          <w:sz w:val="17"/>
        </w:rPr>
        <w:t xml:space="preserve">Zitiervorschlag: § 1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