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4.ExAufhV (Brandenburg) — In-Kraft-Treten</w:t>
      </w:r>
    </w:p>
    <w:p>
      <w:r>
        <w:rPr>
          <w:color w:val="555555"/>
          <w:sz w:val="18"/>
        </w:rPr>
        <w:t xml:space="preserve">Vierte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Gebietsänderungen treten am 1. Juli 2003 in Kraft.</w:t>
      </w:r>
    </w:p>
    <w:p>
      <w:r>
        <w:t xml:space="preserve">Potsdam, den 28. Mai 2003</w:t>
      </w:r>
    </w:p>
    <w:p>
      <w:r>
        <w:rPr>
          <w:color w:val="555555"/>
          <w:sz w:val="17"/>
        </w:rPr>
        <w:t xml:space="preserve">Zitiervorschlag: § 3 4.ExAufhV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https://recht.nulegal.eu/gesetze/4.ExAufhV/3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