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4. ErhZV (Brandenburg) — Erhaltungsziele</w:t>
      </w:r>
    </w:p>
    <w:p>
      <w:r>
        <w:rPr>
          <w:color w:val="555555"/>
          <w:sz w:val="18"/>
        </w:rPr>
        <w:t xml:space="preserve">Vierte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der Anlage 1 aufgeführten Gebiete ökologische Erfordernisse für einen günstigen Erhaltungszustand der natürlichen Lebensraumtypen nach Anhang I und der Tier- und Pflanzenarten nach Anhang II der Richtlinie 92/43/EWG beschrieben.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4. ErhZV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