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4. ErhZV (Brandenburg) — Festsetzung</w:t>
      </w:r>
    </w:p>
    <w:p>
      <w:r>
        <w:rPr>
          <w:color w:val="555555"/>
          <w:sz w:val="18"/>
        </w:rPr>
        <w:t xml:space="preserve">Vierte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Anlage 1 aufgeführten und in Anlage 2 näher beschriebenen Gebiete werden gemäß Artikel 4 Absatz 4 der Richtlinie 92/43/EWG als Gebiete von gemeinschaftlicher Bedeutung (§ 7 Absatz 1 Nummer 6 des Bundesnaturschutzgesetzes) in den in § 3 bestimmten Grenzen festgesetzt. Sie sind Teil des kohärenten europäischen ökologischen Netzes „Natura 2000“ und liegen vollständig oder anteilig im Naturpark Stechlin-Ruppiner Land.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4.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https://recht.nulegal.eu/gesetze/4.%20ErhZV/1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