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3MEDIENAENDSTV (Brandenburg)</w:t>
      </w:r>
    </w:p>
    <w:p>
      <w:r>
        <w:rPr>
          <w:color w:val="555555"/>
          <w:sz w:val="18"/>
        </w:rPr>
        <w:t xml:space="preserve">Gesetz zum Dritten Staatsvertrag zur Änderung medienrechtlicher Staatsverträge (Dritter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Dritte Medienänderungsstaatsvertrag tritt nach seinem Artikel 2 Absatz 2 Satz 1 am 1. Juli 2023 in Kraft. Sollte der Staatsvertrag nach seinem Artikel 2 Absatz 2 Satz 2 gegenstandslos werden, ist dies unverzüglich im Gesetz- und Verordnungsblatt für das Land Brandenburg Teil I bekannt zu geben.</w:t>
      </w:r>
    </w:p>
    <w:p>
      <w:r>
        <w:t xml:space="preserve">Potsdam, den 23. März 2023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 - Medienstaatsvertrag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Dritter Staatsvertrag zur Änderung medienrechtlicher Staatsverträge (Dritter Medienänderungsstaatsvertrag) 375.0 KB</w:t>
      </w:r>
    </w:p>
    <w:p>
      <w:r>
        <w:rPr>
          <w:color w:val="555555"/>
          <w:sz w:val="17"/>
        </w:rPr>
        <w:t xml:space="preserve">Zitiervorschlag: § 2 3MEDIENAENDSTV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https://recht.nulegal.eu/gesetze/3MEDIENAENDSTV/2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