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3.GemGlG (Brandenburg) — Wahlleiter</w:t>
      </w:r>
    </w:p>
    <w:p>
      <w:r>
        <w:rPr>
          <w:color w:val="555555"/>
          <w:sz w:val="18"/>
        </w:rPr>
        <w:t xml:space="preserve">Drittes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den durch § 2 Abs. 1 Nr. 2 bis 15 bestimmten Wahlgebieten beruft</w:t>
      </w:r>
    </w:p>
    <w:p>
      <w:r>
        <w:t xml:space="preserve">die Stadtverordnetenversammlung der aufnehmenden Stadt im Benehmen mit den</w:t>
      </w:r>
    </w:p>
    <w:p>
      <w:r>
        <w:t xml:space="preserve">Gemeindevertretungen der aufzunehmenden Gemeinden binnen zwei Wochen nach</w:t>
      </w:r>
    </w:p>
    <w:p>
      <w:r>
        <w:t xml:space="preserve">Inkrafttreten dieses Gesetzes den Wahlleiter und seinen Stellvertreter.</w:t>
      </w:r>
    </w:p>
    <w:p>
      <w:r>
        <w:t xml:space="preserve">(2) In dem durch § 3 bestimmten Gebiet beruft die Gemeindevertretung</w:t>
      </w:r>
    </w:p>
    <w:p>
      <w:r>
        <w:t xml:space="preserve">der Gemeinde Tettau binnen zwei Wochen nach Inkrafttreten dieses Gesetzes je</w:t>
      </w:r>
    </w:p>
    <w:p>
      <w:r>
        <w:t xml:space="preserve">einen Wahlleiter und einen Stellvertreter für die am Tag der nächsten</w:t>
      </w:r>
    </w:p>
    <w:p>
      <w:r>
        <w:t xml:space="preserve">landesweiten Kommunalwahl entstehenden Gemeinden Tettau und Frauendorf. Die</w:t>
      </w:r>
    </w:p>
    <w:p>
      <w:r>
        <w:t xml:space="preserve">Gemeindevertretung der Gemeinde Schönermark beruft binnen zwei Wochen nach</w:t>
      </w:r>
    </w:p>
    <w:p>
      <w:r>
        <w:t xml:space="preserve">Inkrafttreten dieses Gesetzes je einen Wahlleiter und einen Stellvertreter</w:t>
      </w:r>
    </w:p>
    <w:p>
      <w:r>
        <w:t xml:space="preserve">für die am Tag der nächsten landesweiten Kommunalwahl entstehenden</w:t>
      </w:r>
    </w:p>
    <w:p>
      <w:r>
        <w:t xml:space="preserve">Gemeinden Schönermark und Naugarten. Sofern die Gemeindevertretung von der</w:t>
      </w:r>
    </w:p>
    <w:p>
      <w:r>
        <w:t xml:space="preserve">Möglichkeit des § 14 Abs. 2 des Brandenburgischen</w:t>
      </w:r>
    </w:p>
    <w:p>
      <w:r>
        <w:t xml:space="preserve">Kommunalwahlgesetzes Gebrauch macht, bestimmt der Amtsausschuß binnen</w:t>
      </w:r>
    </w:p>
    <w:p>
      <w:r>
        <w:t xml:space="preserve">zwei Wochen nach Inkrafttreten dieses Gesetzes die jeweiligen Wahlleiter und</w:t>
      </w:r>
    </w:p>
    <w:p>
      <w:r>
        <w:t xml:space="preserve">Stellvertreter.</w:t>
      </w:r>
    </w:p>
    <w:p>
      <w:r>
        <w:t xml:space="preserve">(3) In den gemäß § 1 Abs. 1 Nr. 1 bis 3 bestimmten</w:t>
      </w:r>
    </w:p>
    <w:p>
      <w:r>
        <w:t xml:space="preserve">Wahlgebieten beruft gemäß Nummer 1 die Gemeindevertretung der bis</w:t>
      </w:r>
    </w:p>
    <w:p>
      <w:r>
        <w:t xml:space="preserve">zum Wahltag bestehenden Gemeinde Hohen Neuendorf, gemäß Nummer 2 die</w:t>
      </w:r>
    </w:p>
    <w:p>
      <w:r>
        <w:t xml:space="preserve">Gemeindevertretung der bis zum Wahltag bestehenden Gemeinde Neuseddin,</w:t>
      </w:r>
    </w:p>
    <w:p>
      <w:r>
        <w:t xml:space="preserve">gemäß Nummer 3 die Gemeindevertretung der bis zum Wahltag</w:t>
      </w:r>
    </w:p>
    <w:p>
      <w:r>
        <w:t xml:space="preserve">bestehenden Gemeinde Fredersdorf im Benehmen mit den anderen</w:t>
      </w:r>
    </w:p>
    <w:p>
      <w:r>
        <w:t xml:space="preserve">Gemeindevertretungen binnen zwei Wochen nach Inkrafttreten dieses Gesetzes den</w:t>
      </w:r>
    </w:p>
    <w:p>
      <w:r>
        <w:t xml:space="preserve">Wahlleiter und seinen Stellvertreter und beschließt erforderlichenfalls</w:t>
      </w:r>
    </w:p>
    <w:p>
      <w:r>
        <w:t xml:space="preserve">die Zahl der Wahlkreise und deren Abgrenzung. In dem gemäß § 1</w:t>
      </w:r>
    </w:p>
    <w:p>
      <w:r>
        <w:t xml:space="preserve">Abs. 1 Nr. 4 bestimmten Wahlgebiet beruft der Amtsausschuß des bis zum</w:t>
      </w:r>
    </w:p>
    <w:p>
      <w:r>
        <w:t xml:space="preserve">Wahltag bestehenden Amtes Nuthe-Urstromtal binnen zwei Wochen nach</w:t>
      </w:r>
    </w:p>
    <w:p>
      <w:r>
        <w:t xml:space="preserve">Inkrafttreten dieses Gesetzes den Wahlleiter und seinen Stellvertreter und</w:t>
      </w:r>
    </w:p>
    <w:p>
      <w:r>
        <w:t xml:space="preserve">beschließt die Zahl der Wahlkreise und deren Abgrenzung.</w:t>
      </w:r>
    </w:p>
    <w:p>
      <w:r>
        <w:t xml:space="preserve">(4) Erfolgt binnen zwei Wochen nach Inkrafttreten dieses Gesetzes kein</w:t>
      </w:r>
    </w:p>
    <w:p>
      <w:r>
        <w:t xml:space="preserve">entsprechender Beschluß der Gemeindevertretung,</w:t>
      </w:r>
    </w:p>
    <w:p>
      <w:r>
        <w:t xml:space="preserve">Stadtverordnetenversammlung oder des Amtsausschusses, so beruft der</w:t>
      </w:r>
    </w:p>
    <w:p>
      <w:r>
        <w:t xml:space="preserve">zuständige Kreiswahlleiter den Wahlleiter und seinen Stellvertreter. Satz</w:t>
      </w:r>
    </w:p>
    <w:p>
      <w:r>
        <w:t xml:space="preserve">1 gilt für die Bestimmung der Zahl der Wahlkreise und deren Abgrenzung</w:t>
      </w:r>
    </w:p>
    <w:p>
      <w:r>
        <w:t xml:space="preserve">entsprechend. Hinsichtlich des in § 2 Abs. 2 Nr. 2 und 3 bestimmten</w:t>
      </w:r>
    </w:p>
    <w:p>
      <w:r>
        <w:t xml:space="preserve">Wahlgebietes tritt an die Stelle des Kreiswahlleiters der Landeswahlleiter.</w:t>
      </w:r>
    </w:p>
    <w:p>
      <w:r>
        <w:t xml:space="preserve">(5) Der Wahlleiter und sein Stellvertreter werden vom Vorsitzenden der</w:t>
      </w:r>
    </w:p>
    <w:p>
      <w:r>
        <w:t xml:space="preserve">berufenden Gemeindevertretung, Stadtverordnetenversammlung oder des</w:t>
      </w:r>
    </w:p>
    <w:p>
      <w:r>
        <w:t xml:space="preserve">Amtsausschusses zur unparteiischen Wahrnehmung ihres Amtes und zur</w:t>
      </w:r>
    </w:p>
    <w:p>
      <w:r>
        <w:t xml:space="preserve">Verschwiegenheit über die ihnen bei ihrer amtlichen Tätigkeit</w:t>
      </w:r>
    </w:p>
    <w:p>
      <w:r>
        <w:t xml:space="preserve">bekanntgewordenen Tatsachen, insbesondere über alle dem Wahlgeheimnis</w:t>
      </w:r>
    </w:p>
    <w:p>
      <w:r>
        <w:t xml:space="preserve">unterliegenden Angelegenheiten, verpflichtet.</w:t>
      </w:r>
    </w:p>
    <w:p>
      <w:r>
        <w:t xml:space="preserve">(6) Sie üben ihr Amt bis zur Wahl der Wahlorgane durch die neue</w:t>
      </w:r>
    </w:p>
    <w:p>
      <w:r>
        <w:t xml:space="preserve">Gemeindevertretung oder Stadtverordnetenversammlung, längstens bis zum</w:t>
      </w:r>
    </w:p>
    <w:p>
      <w:r>
        <w:t xml:space="preserve">Ablauf der auf die Kommunalwahl in den Gemeinden folgenden Wahlperiode, aus.</w:t>
      </w:r>
    </w:p>
    <w:p>
      <w:r>
        <w:rPr>
          <w:color w:val="555555"/>
          <w:sz w:val="17"/>
        </w:rPr>
        <w:t xml:space="preserve">Zitiervorschlag: § 9 3.GemGlG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https://recht.nulegal.eu/gesetze/3.GemGlG/9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