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3.GemGlG (Brandenburg) — Wahlbehörden</w:t>
      </w:r>
    </w:p>
    <w:p>
      <w:r>
        <w:rPr>
          <w:color w:val="555555"/>
          <w:sz w:val="18"/>
        </w:rPr>
        <w:t xml:space="preserve">Drittes Gemeindegliederungsgesetz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In den Fällen des § 1 Abs. 1 ist Wahlbehörde in dem durch</w:t>
      </w:r>
    </w:p>
    <w:p>
      <w:r>
        <w:t xml:space="preserve">Nummer 1 bestimmten Gebiet der Bürgermeister der bis zum Wahltag</w:t>
      </w:r>
    </w:p>
    <w:p>
      <w:r>
        <w:t xml:space="preserve">bestehenden Gemeinde Hohen Neuendorf, in dem durch Nummer 2 bestimmten Gebiet</w:t>
      </w:r>
    </w:p>
    <w:p>
      <w:r>
        <w:t xml:space="preserve">der Bürgermeister der bis zum Wahltag bestehenden Gemeinde Neuseddin, in</w:t>
      </w:r>
    </w:p>
    <w:p>
      <w:r>
        <w:t xml:space="preserve">dem durch Nummer 3 bestimmten Gebiet der Bürgermeister der bis zum Wahltag</w:t>
      </w:r>
    </w:p>
    <w:p>
      <w:r>
        <w:t xml:space="preserve">bestehenden Gemeinde Fredersdorf, in dem durch Nummer 4 bestimmten Gebiet der</w:t>
      </w:r>
    </w:p>
    <w:p>
      <w:r>
        <w:t xml:space="preserve">Amtsdirektor des Amtes Nuthe-Urstromtal.</w:t>
      </w:r>
    </w:p>
    <w:p>
      <w:r>
        <w:t xml:space="preserve">(2) In den Fällen des § 2 Abs. 1 Nr. 1 und 9 ist Wahlbehörde</w:t>
      </w:r>
    </w:p>
    <w:p>
      <w:r>
        <w:t xml:space="preserve">der geschäftsführende Bürgermeister der aufnehmenden Gemeinde.</w:t>
      </w:r>
    </w:p>
    <w:p>
      <w:r>
        <w:t xml:space="preserve">(3) In den übrigen Fällen des § 2 ist Wahlbehörde der</w:t>
      </w:r>
    </w:p>
    <w:p>
      <w:r>
        <w:t xml:space="preserve">Oberbürgermeister oder Bürgermeister der aufnehmenden Gemeinde.</w:t>
      </w:r>
    </w:p>
    <w:p>
      <w:r>
        <w:t xml:space="preserve">(4) Für die in § 3 bestimmten Gebiete ist Wahlbehörde der</w:t>
      </w:r>
    </w:p>
    <w:p>
      <w:r>
        <w:t xml:space="preserve">zuständige Amtsdirektor.</w:t>
      </w:r>
    </w:p>
    <w:p>
      <w:r>
        <w:rPr>
          <w:color w:val="555555"/>
          <w:sz w:val="17"/>
        </w:rPr>
        <w:t xml:space="preserve">Zitiervorschlag: § 8 3.GemGlG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https://recht.nulegal.eu/gesetze/3.GemGlG/8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