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3.GemGlG (Brandenburg) — Wahlgebiet</w:t>
      </w:r>
    </w:p>
    <w:p>
      <w:r>
        <w:rPr>
          <w:color w:val="555555"/>
          <w:sz w:val="18"/>
        </w:rPr>
        <w:t xml:space="preserve">Drittes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Wahlgebiet im Sinne des Brandenburgischen Kommunalwahlgesetzes vom 22. April</w:t>
      </w:r>
    </w:p>
    <w:p>
      <w:r>
        <w:t xml:space="preserve">1993 (GVBl. I S. 110) ist für die in den §§ 1 bis 3 genannten</w:t>
      </w:r>
    </w:p>
    <w:p>
      <w:r>
        <w:t xml:space="preserve">Gemeinden das mit der landesweiten Kommunalwahl entstehende Gebiet der</w:t>
      </w:r>
    </w:p>
    <w:p>
      <w:r>
        <w:t xml:space="preserve">jeweiligen Gebietskörperschaft.</w:t>
      </w:r>
    </w:p>
    <w:p>
      <w:r>
        <w:rPr>
          <w:color w:val="555555"/>
          <w:sz w:val="17"/>
        </w:rPr>
        <w:t xml:space="preserve">Zitiervorschlag: § 7 3.GemGlG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https://recht.nulegal.eu/gesetze/3.GemGlG/7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