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3.GemGlG (Brandenburg) — Wirksamwerden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Auflösungen, Eingliederungen und Teilungen werden mit dem Tag</w:t>
      </w:r>
    </w:p>
    <w:p>
      <w:r>
        <w:t xml:space="preserve">der nächsten landesweiten Kommunalwahl wirksam. Bis dahin bestehen die in</w:t>
      </w:r>
    </w:p>
    <w:p>
      <w:r>
        <w:t xml:space="preserve">diesem Gesetz bezeichneten Gemeinden in ihrem bisherigen Zustand fort und</w:t>
      </w:r>
    </w:p>
    <w:p>
      <w:r>
        <w:t xml:space="preserve">handeln durch ihre Organe.</w:t>
      </w:r>
    </w:p>
    <w:p>
      <w:r>
        <w:t xml:space="preserve">(2) Mit dem Inkrafttreten dieses Gesetzes sind die in den §§ 1 bis</w:t>
      </w:r>
    </w:p>
    <w:p>
      <w:r>
        <w:t xml:space="preserve">3 genannten Gemeinden verpflichtet, alle Handlungen und Maßnahmen zu</w:t>
      </w:r>
    </w:p>
    <w:p>
      <w:r>
        <w:t xml:space="preserve">unterlassen, die zu Nachteilen für die künftigen neugebildeten</w:t>
      </w:r>
    </w:p>
    <w:p>
      <w:r>
        <w:t xml:space="preserve">Gemeinden führen können. Sie sind an die abgeschlossenen</w:t>
      </w:r>
    </w:p>
    <w:p>
      <w:r>
        <w:t xml:space="preserve">Gebietsänderungsverträge gebunden. Satzungsbeschlüsse sind den</w:t>
      </w:r>
    </w:p>
    <w:p>
      <w:r>
        <w:t xml:space="preserve">beteiligten Gemeinden mitzuteilen. Sie dürfen erst bekanntgemacht werden,</w:t>
      </w:r>
    </w:p>
    <w:p>
      <w:r>
        <w:t xml:space="preserve">wenn innerhalb von zwei Wochen kein Widerspruch erfolgt ist. Der Widerspruch</w:t>
      </w:r>
    </w:p>
    <w:p>
      <w:r>
        <w:t xml:space="preserve">hat aufschiebende Wirkung. Über ihn entscheidet die zuständige</w:t>
      </w:r>
    </w:p>
    <w:p>
      <w:r>
        <w:t xml:space="preserve">Rechtsaufsichtsbehörde, falls nicht binnen eines Monats Abhilfe erfolgt.</w:t>
      </w:r>
    </w:p>
    <w:p>
      <w:r>
        <w:rPr>
          <w:color w:val="555555"/>
          <w:sz w:val="17"/>
        </w:rPr>
        <w:t xml:space="preserve">Zitiervorschlag: § 6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3.GemGlG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