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3.GemGlG (Brandenburg) — Erhalt der Bürgerrechte</w:t>
      </w:r>
    </w:p>
    <w:p>
      <w:r>
        <w:rPr>
          <w:color w:val="555555"/>
          <w:sz w:val="18"/>
        </w:rPr>
        <w:t xml:space="preserve">Drittes Gemeindegliederungsgesetz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Soweit für Rechte oder Pflichten die Dauer des Wohnens in der Gemeinde</w:t>
      </w:r>
    </w:p>
    <w:p>
      <w:r>
        <w:t xml:space="preserve">maßgebend ist, gilt das ununterbrochene Wohnen in den aufgelösten</w:t>
      </w:r>
    </w:p>
    <w:p>
      <w:r>
        <w:t xml:space="preserve">Gemeinden als solches in der neuen Gemeinde.</w:t>
      </w:r>
    </w:p>
    <w:p>
      <w:r>
        <w:rPr>
          <w:color w:val="555555"/>
          <w:sz w:val="17"/>
        </w:rPr>
        <w:t xml:space="preserve">Zitiervorschlag: § 5 3.GemGlG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https://recht.nulegal.eu/gesetze/3.GemGlG/5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