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3.GemGlG (Brandenburg) — Abgaben</w:t>
      </w:r>
    </w:p>
    <w:p>
      <w:r>
        <w:rPr>
          <w:color w:val="555555"/>
          <w:sz w:val="18"/>
        </w:rPr>
        <w:t xml:space="preserve">Drittes Gemeindegliederungsgesetz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in Gebietsänderungsverträgen die Fortgeltung</w:t>
      </w:r>
    </w:p>
    <w:p>
      <w:r>
        <w:t xml:space="preserve">unterschiedlicher Sätze für Abgaben vereinbart worden ist, gelten die</w:t>
      </w:r>
    </w:p>
    <w:p>
      <w:r>
        <w:t xml:space="preserve">Sätze längstens für fünf Jahre ab Wirksamwerden der</w:t>
      </w:r>
    </w:p>
    <w:p>
      <w:r>
        <w:t xml:space="preserve">Gebietsänderung nach § 6.</w:t>
      </w:r>
    </w:p>
    <w:p>
      <w:r>
        <w:rPr>
          <w:color w:val="555555"/>
          <w:sz w:val="17"/>
        </w:rPr>
        <w:t xml:space="preserve">Zitiervorschlag: § 4 3.GemGlG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https://recht.nulegal.eu/gesetze/3.GemGlG/4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3.GemGlG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