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3.GemGlG (Brandenburg) — Eingliederung von kreisangehörigen Gemeinden und Städten in kreisangehörige Städte und kreisangehörigen Gemeindenin kreisfreie Städte</w:t>
      </w:r>
    </w:p>
    <w:p>
      <w:r>
        <w:rPr>
          <w:color w:val="555555"/>
          <w:sz w:val="18"/>
        </w:rPr>
        <w:t xml:space="preserve">Drittes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Folgende kreisangehörige Gemeinden und Städte werden</w:t>
      </w:r>
    </w:p>
    <w:p>
      <w:r>
        <w:t xml:space="preserve">aufgelöst und in kreisangehörige Städte eingegliedert:</w:t>
      </w:r>
    </w:p>
    <w:p>
      <w:r>
        <w:t xml:space="preserve">Maasdorf und die Gemeinden des Amtes Bad Liebenwerda Kröbeln,</w:t>
      </w:r>
    </w:p>
    <w:p>
      <w:r>
        <w:t xml:space="preserve">Neuburxdorf, Prieschka, Thalberg, Theisa und Zobersdorf in die Stadt Bad</w:t>
      </w:r>
    </w:p>
    <w:p>
      <w:r>
        <w:t xml:space="preserve">Liebenwerda (Kreis Bad Liebenwerda),</w:t>
      </w:r>
    </w:p>
    <w:p>
      <w:r>
        <w:t xml:space="preserve">Kraupa in die Stadt Elsterwerda (Kreis Bad Liebenwerda),</w:t>
      </w:r>
    </w:p>
    <w:p>
      <w:r>
        <w:t xml:space="preserve">Naundorf, Bohrau, Mulknitz, Groß Bademeusel, Briesnig und Groß</w:t>
      </w:r>
    </w:p>
    <w:p>
      <w:r>
        <w:t xml:space="preserve">Jamno in die Stadt Forst/Lausitz (Kreis Forst),</w:t>
      </w:r>
    </w:p>
    <w:p>
      <w:r>
        <w:t xml:space="preserve">Schlagsdorf, Deulowitz und Bresinchen in die Stadt Guben (Kreis Guben),</w:t>
      </w:r>
    </w:p>
    <w:p>
      <w:r>
        <w:t xml:space="preserve">Trebus in die Stadt Fürstenwalde (Kreis Fürstenwalde),</w:t>
      </w:r>
    </w:p>
    <w:p>
      <w:r>
        <w:t xml:space="preserve">Hohenstein in die Stadt Strausberg (Kreis Strausberg),</w:t>
      </w:r>
    </w:p>
    <w:p>
      <w:r>
        <w:t xml:space="preserve">Kostebrau und Grünewalde in die Stadt Lauchhammer (Kreis</w:t>
      </w:r>
    </w:p>
    <w:p>
      <w:r>
        <w:t xml:space="preserve">Senftenberg),</w:t>
      </w:r>
    </w:p>
    <w:p>
      <w:r>
        <w:t xml:space="preserve">Schönhagen in die Stadt Pritzwalk (Kreis Pritzwalk),</w:t>
      </w:r>
    </w:p>
    <w:p>
      <w:r>
        <w:t xml:space="preserve">Altranft in die Stadt Bad Freienwalde (Kreis Bad Freienwalde),</w:t>
      </w:r>
    </w:p>
    <w:p>
      <w:r>
        <w:t xml:space="preserve">Sommerfelde und Tornow in die Stadt Eberswalde-Finow (Kreis Eberswalde),</w:t>
      </w:r>
    </w:p>
    <w:p>
      <w:r>
        <w:t xml:space="preserve">Frankenfelde und Kolzenburg in die Stadt Luckenwalde (Kreis Luckenwalde),</w:t>
      </w:r>
    </w:p>
    <w:p>
      <w:r>
        <w:t xml:space="preserve">Sorno in die Stadt Finsterwalde (Kreis Finsterwalde),</w:t>
      </w:r>
    </w:p>
    <w:p>
      <w:r>
        <w:t xml:space="preserve">Hartmannsdorf, Lubolz und Radensdorf in die Stadt Lübben (Kreis</w:t>
      </w:r>
    </w:p>
    <w:p>
      <w:r>
        <w:t xml:space="preserve">Lübben),</w:t>
      </w:r>
    </w:p>
    <w:p>
      <w:r>
        <w:t xml:space="preserve">Alt Ruppin, Molchow, Stöffin, Wuthenow, Nietwerder, Wulkow, Buskow,</w:t>
      </w:r>
    </w:p>
    <w:p>
      <w:r>
        <w:t xml:space="preserve">Gnewikow, Karwe, Lichtenberg, Krangen, Gühlen-Glienicke und Radensleben in</w:t>
      </w:r>
    </w:p>
    <w:p>
      <w:r>
        <w:t xml:space="preserve">die Stadt Neuruppin (Kreis Neuruppin),</w:t>
      </w:r>
    </w:p>
    <w:p>
      <w:r>
        <w:t xml:space="preserve">Birkholz in die Stadt Bernau (Kreis Bernau).</w:t>
      </w:r>
    </w:p>
    <w:p>
      <w:r>
        <w:t xml:space="preserve">Das Amt Bad Liebenwerda wird aufgelöst.</w:t>
      </w:r>
    </w:p>
    <w:p>
      <w:r>
        <w:t xml:space="preserve">(2) Folgende kreisangehörige Gemeinden werden aufgelöst und in</w:t>
      </w:r>
    </w:p>
    <w:p>
      <w:r>
        <w:t xml:space="preserve">kreisfreie Städte eingegliedert:</w:t>
      </w:r>
    </w:p>
    <w:p>
      <w:r>
        <w:t xml:space="preserve">Gatow (Kreis Angermünde) in die kreisfreie Stadt Schwedt,</w:t>
      </w:r>
    </w:p>
    <w:p>
      <w:r>
        <w:t xml:space="preserve">Klein Kreutz (Kreis Brandenburg-Land) in die kreisfreie Stadt Brandenburg.</w:t>
      </w:r>
    </w:p>
    <w:p>
      <w:r>
        <w:t xml:space="preserve">Die Gemarkung Mahlenzien der kreisangehörigen Gemeinde Viesen wird</w:t>
      </w:r>
    </w:p>
    <w:p>
      <w:r>
        <w:t xml:space="preserve">von dieser abgetrennt und in die kreisfreie Stadt Brandenburg eingegliedert.</w:t>
      </w:r>
    </w:p>
    <w:p>
      <w:r>
        <w:t xml:space="preserve">Die Vermögensauseinandersetzung richtet sich nach dem geschlossenen</w:t>
      </w:r>
    </w:p>
    <w:p>
      <w:r>
        <w:t xml:space="preserve">Gebietsänderungsvertrag.</w:t>
      </w:r>
    </w:p>
    <w:p>
      <w:r>
        <w:t xml:space="preserve">Grube (Kreis Potsdam-Land) in die Landeshauptstadt Potsdam.</w:t>
      </w:r>
    </w:p>
    <w:p>
      <w:r>
        <w:t xml:space="preserve">(3) Die aufnehmenden Städte sind Rechtsnachfolger der eingegliederten</w:t>
      </w:r>
    </w:p>
    <w:p>
      <w:r>
        <w:t xml:space="preserve">Gemeinden und Städte. Eine Vermögensauseinandersetzung findet mit</w:t>
      </w:r>
    </w:p>
    <w:p>
      <w:r>
        <w:t xml:space="preserve">Ausnahme des in Absatz 2 Nr. 3 geregelten Falles nicht statt.</w:t>
      </w:r>
    </w:p>
    <w:p>
      <w:r>
        <w:t xml:space="preserve">(4) Mit dem Wirksamwerden der Eingliederungen tritt das Ortsrecht der</w:t>
      </w:r>
    </w:p>
    <w:p>
      <w:r>
        <w:t xml:space="preserve">eingegliederten Gemeinden außer Kraft. Das Ortsrecht der aufnehmenden</w:t>
      </w:r>
    </w:p>
    <w:p>
      <w:r>
        <w:t xml:space="preserve">Städte gilt dann für das gesamte neue Stadtgebiet. Bauleitpläne</w:t>
      </w:r>
    </w:p>
    <w:p>
      <w:r>
        <w:t xml:space="preserve">und grundstücksbezogenes Ortsrecht der eingegliederten Gemeinden gelten</w:t>
      </w:r>
    </w:p>
    <w:p>
      <w:r>
        <w:t xml:space="preserve">jedoch als Ortsrecht der aufnehmenden Städte so lange fort, bis sie durch</w:t>
      </w:r>
    </w:p>
    <w:p>
      <w:r>
        <w:t xml:space="preserve">neues Ortsrecht ersetzt werden oder aus anderen Gründen außer Kraft</w:t>
      </w:r>
    </w:p>
    <w:p>
      <w:r>
        <w:t xml:space="preserve">treten.</w:t>
      </w:r>
    </w:p>
    <w:p>
      <w:r>
        <w:rPr>
          <w:color w:val="555555"/>
          <w:sz w:val="17"/>
        </w:rPr>
        <w:t xml:space="preserve">Zitiervorschlag: § 2 3.GemGlG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https://recht.nulegal.eu/gesetze/3.GemGlG/2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