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3.GemGlG (Brandenburg) — Inkrafttreten</w:t>
      </w:r>
    </w:p>
    <w:p>
      <w:r>
        <w:rPr>
          <w:color w:val="555555"/>
          <w:sz w:val="18"/>
        </w:rPr>
        <w:t xml:space="preserve">Drittes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20. September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14 3.GemGlG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https://recht.nulegal.eu/gesetze/3.GemGlG/14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3.GemGlG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