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3.GemGlG (Brandenburg) — Bekanntmachung des Wahlleiters</w:t>
      </w:r>
    </w:p>
    <w:p>
      <w:r>
        <w:rPr>
          <w:color w:val="555555"/>
          <w:sz w:val="18"/>
        </w:rPr>
        <w:t xml:space="preserve">Drittes Gemeindegliederungsgesetz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Der Wahlleiter gibt unverzüglich die Zahl der Vertreter, die Zahl und</w:t>
      </w:r>
    </w:p>
    <w:p>
      <w:r>
        <w:t xml:space="preserve">Abgrenzung der Wahlkreise, die Höchstzahl der auf einem Wahlvorschlag zu</w:t>
      </w:r>
    </w:p>
    <w:p>
      <w:r>
        <w:t xml:space="preserve">benennenden Bewerber und die Zahl der Unterschriften für</w:t>
      </w:r>
    </w:p>
    <w:p>
      <w:r>
        <w:t xml:space="preserve">Wahlvorschläge öffentlich bekannt.</w:t>
      </w:r>
    </w:p>
    <w:p>
      <w:r>
        <w:rPr>
          <w:color w:val="555555"/>
          <w:sz w:val="17"/>
        </w:rPr>
        <w:t xml:space="preserve">Zitiervorschlag: § 11 3.GemGlG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https://recht.nulegal.eu/gesetze/3.GemGlG/11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