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3.GemGlG (Brandenburg) — Bildung der Wahlausschüsse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Wahlleiter beruft unverzüglich nach Amtsantritt im Benehmen mit</w:t>
      </w:r>
    </w:p>
    <w:p>
      <w:r>
        <w:t xml:space="preserve">den im Wahlgebiet vertretenen Parteien und Wählergruppen die Beisitzer des</w:t>
      </w:r>
    </w:p>
    <w:p>
      <w:r>
        <w:t xml:space="preserve">Wahlausschusses und für jeden Beisitzer einen Stellvertreter.</w:t>
      </w:r>
    </w:p>
    <w:p>
      <w:r>
        <w:t xml:space="preserve">(2) In den durch § 2 Abs. 1 Nr. 1 und Absatz 2 bestimmten Wahlgebieten</w:t>
      </w:r>
    </w:p>
    <w:p>
      <w:r>
        <w:t xml:space="preserve">ist der Wahlausschuß der nach § 10 in Verbindung mit § 5 des</w:t>
      </w:r>
    </w:p>
    <w:p>
      <w:r>
        <w:t xml:space="preserve">Wahldurchführungsgesetzes 1993 vom 22. April 1993 (GVBl. I S. 135)</w:t>
      </w:r>
    </w:p>
    <w:p>
      <w:r>
        <w:t xml:space="preserve">gebildete Wahlausschuß.</w:t>
      </w:r>
    </w:p>
    <w:p>
      <w:r>
        <w:rPr>
          <w:color w:val="555555"/>
          <w:sz w:val="17"/>
        </w:rPr>
        <w:t xml:space="preserve">Zitiervorschlag: § 10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