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3.GemGlG (Brandenburg) — Zusammenlegung von kreisangehörigen Gemeinden</w:t>
      </w:r>
    </w:p>
    <w:p>
      <w:r>
        <w:rPr>
          <w:color w:val="555555"/>
          <w:sz w:val="18"/>
        </w:rPr>
        <w:t xml:space="preserve">Drittes Gemeindegliederungsgesetz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Folgende Gemeinden werden aufgelöst und zu einer neuen Gemeinde</w:t>
      </w:r>
    </w:p>
    <w:p>
      <w:r>
        <w:t xml:space="preserve">zusammengelegt:</w:t>
      </w:r>
    </w:p>
    <w:p>
      <w:r>
        <w:t xml:space="preserve">Hohen Neuendorf, Bergfelde und Borgsdorf zur Gemeinde Hohen Neuendorf</w:t>
      </w:r>
    </w:p>
    <w:p>
      <w:r>
        <w:t xml:space="preserve">(Kreis Oranienburg),</w:t>
      </w:r>
    </w:p>
    <w:p>
      <w:r>
        <w:t xml:space="preserve">Neuseddin, Seddin und Kähnsdorf zur Gemeinde Seddiner See (Kreis</w:t>
      </w:r>
    </w:p>
    <w:p>
      <w:r>
        <w:t xml:space="preserve">Potsdam-Land),</w:t>
      </w:r>
    </w:p>
    <w:p>
      <w:r>
        <w:t xml:space="preserve">Fredersdorf und Vogelsdorf zur Gemeinde Fredersdorf-Vogelsdorf (Kreis</w:t>
      </w:r>
    </w:p>
    <w:p>
      <w:r>
        <w:t xml:space="preserve">Strausberg),</w:t>
      </w:r>
    </w:p>
    <w:p>
      <w:r>
        <w:t xml:space="preserve">Berkenbrück, Dobbrikow, Dümde, Felgentreu, Frankenförde,</w:t>
      </w:r>
    </w:p>
    <w:p>
      <w:r>
        <w:t xml:space="preserve">Gottow, Hennickendorf, Holbeck, Jänickendorf, Kemnitz, Lynow,</w:t>
      </w:r>
    </w:p>
    <w:p>
      <w:r>
        <w:t xml:space="preserve">Märtensmühle, Nettgendorf, Ruhlsdorf, Scharfenbrück,</w:t>
      </w:r>
    </w:p>
    <w:p>
      <w:r>
        <w:t xml:space="preserve">Schönefeld, Schöneweide, Stülpe, Woltersdorf und</w:t>
      </w:r>
    </w:p>
    <w:p>
      <w:r>
        <w:t xml:space="preserve">Zülichendorf zur Gemeinde Nuthe-Urstromtal (Kreis Luckenwalde).</w:t>
      </w:r>
    </w:p>
    <w:p>
      <w:r>
        <w:t xml:space="preserve">(2) Die neu gebildeten Gemeinden sind Rechtsnachfolger der Gemeinden, aus</w:t>
      </w:r>
    </w:p>
    <w:p>
      <w:r>
        <w:t xml:space="preserve">denen sie gebildet worden sind. Eine Vermögensauseinandersetzung findet</w:t>
      </w:r>
    </w:p>
    <w:p>
      <w:r>
        <w:t xml:space="preserve">nicht statt. Das Ortsrecht der bisherigen Gemeinden tritt mit Wirksamwerden des</w:t>
      </w:r>
    </w:p>
    <w:p>
      <w:r>
        <w:t xml:space="preserve">Zusammenschlusses außer Kraft. Dies gilt nicht für</w:t>
      </w:r>
    </w:p>
    <w:p>
      <w:r>
        <w:t xml:space="preserve">Bauleitpläne, die als Ortsrecht der neu gebildeten Gemeinde fortgelten,</w:t>
      </w:r>
    </w:p>
    <w:p>
      <w:r>
        <w:t xml:space="preserve">bis sie durch neues Ortsrecht ersetzt werden oder aus anderen Gründen</w:t>
      </w:r>
    </w:p>
    <w:p>
      <w:r>
        <w:t xml:space="preserve">außer Kraft treten. Satzungen über Erschließungsbeiträge</w:t>
      </w:r>
    </w:p>
    <w:p>
      <w:r>
        <w:t xml:space="preserve">behalten für zwei Jahre nach Wirksamwerden des Zusammenschlusses der</w:t>
      </w:r>
    </w:p>
    <w:p>
      <w:r>
        <w:t xml:space="preserve">bisherigen Gemeinden Gültigkeit, wenn sie nicht vorher geändert</w:t>
      </w:r>
    </w:p>
    <w:p>
      <w:r>
        <w:t xml:space="preserve">werden. Absatz 2 gilt nicht für die unter Nummer 4 genannten Gemeinden.</w:t>
      </w:r>
    </w:p>
    <w:p>
      <w:r>
        <w:t xml:space="preserve">Hier finden die Regelungen aus den §§ 2 und 3 des zwischen den</w:t>
      </w:r>
    </w:p>
    <w:p>
      <w:r>
        <w:t xml:space="preserve">genannten Gemeinden geschlossenen Gebietsänderungsvertrages Anwendung.</w:t>
      </w:r>
    </w:p>
    <w:p>
      <w:r>
        <w:rPr>
          <w:color w:val="555555"/>
          <w:sz w:val="17"/>
        </w:rPr>
        <w:t xml:space="preserve">Zitiervorschlag: § 1 3.GemGlG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https://recht.nulegal.eu/gesetze/3.GemGlG/1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3.GemGlG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