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3.GemGebRefGBbg (Brandenburg) — Anwendungsbereich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dieses Abschnitts gelten für die</w:t>
      </w:r>
    </w:p>
    <w:p>
      <w:r>
        <w:t xml:space="preserve">nächsten allgemeinen landesweiten Kommunalwahlen im Jahre 2003.</w:t>
      </w:r>
    </w:p>
    <w:p>
      <w:r>
        <w:rPr>
          <w:color w:val="555555"/>
          <w:sz w:val="17"/>
        </w:rPr>
        <w:t xml:space="preserve">Zitiervorschlag: § 5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