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3.GemGebRefGBbg (Brandenburg) — Entsprechende Anwendung von Rechtsvorschriften</w:t>
      </w:r>
    </w:p>
    <w:p>
      <w:r>
        <w:rPr>
          <w:color w:val="555555"/>
          <w:sz w:val="18"/>
        </w:rPr>
        <w:t xml:space="preserve">Drittes Gesetz zur landesweiten Gemeindegebietsreform betreffend die Landeshauptstadt Potsdam und die Ämter Fahrland und Werder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§§ 22, 23, 24, 25 Abs. 1 und 3, §§ 26,</w:t>
      </w:r>
    </w:p>
    <w:p>
      <w:r>
        <w:t xml:space="preserve">27, 29 und 30 des Vierten Gesetzes zur landesweiten Gemeindegebietsreform</w:t>
      </w:r>
    </w:p>
    <w:p>
      <w:r>
        <w:t xml:space="preserve">betreffend die Landkreise Havelland, Potsdam-Mittelmark, Teltow-Fläming</w:t>
      </w:r>
    </w:p>
    <w:p>
      <w:r>
        <w:t xml:space="preserve">gelten entsprechend.</w:t>
      </w:r>
    </w:p>
    <w:p>
      <w:r>
        <w:rPr>
          <w:color w:val="555555"/>
          <w:sz w:val="17"/>
        </w:rPr>
        <w:t xml:space="preserve">Zitiervorschlag: § 4 3.GemGebRefGBbg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https://recht.nulegal.eu/gesetze/3.GemGebRefGBbg/4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