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3.GemGebRefGBbg (Brandenburg) — Rechtsnachfolge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aufnehmende kreisfreie Stadt ist Rechtsnachfolgerin der</w:t>
      </w:r>
    </w:p>
    <w:p>
      <w:r>
        <w:t xml:space="preserve">eingegliederten Gemeinden.</w:t>
      </w:r>
    </w:p>
    <w:p>
      <w:r>
        <w:rPr>
          <w:color w:val="555555"/>
          <w:sz w:val="17"/>
        </w:rPr>
        <w:t xml:space="preserve">Zitiervorschlag: § 2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