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3.GemGebRefGBbg (Brandenburg) — In-Kraft-Treten</w:t>
      </w:r>
    </w:p>
    <w:p>
      <w:r>
        <w:rPr>
          <w:color w:val="555555"/>
          <w:sz w:val="18"/>
        </w:rPr>
        <w:t xml:space="preserve">Drittes Gesetz zur landesweiten Gemeindegebietsreform betreffend die Landeshauptstadt Potsdam und die Ämter Fahrland und Werder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§ 1 tritt am Tage der nächsten landesweiten</w:t>
      </w:r>
    </w:p>
    <w:p>
      <w:r>
        <w:t xml:space="preserve">Kommunalwahlen in Kraft. Im Übrigen tritt dieses Gesetz am Tage nach der</w:t>
      </w:r>
    </w:p>
    <w:p>
      <w:r>
        <w:t xml:space="preserve">Verkündung in Kraft.</w:t>
      </w:r>
    </w:p>
    <w:p>
      <w:r>
        <w:rPr>
          <w:color w:val="555555"/>
          <w:sz w:val="17"/>
        </w:rPr>
        <w:t xml:space="preserve">Zitiervorschlag: § 11 3.GemGebRefGBbg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https://recht.nulegal.eu/gesetze/3.GemGebRefGBbg/11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