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26. ErhZV (Brandenburg) — Erhaltungsziele</w:t>
      </w:r>
    </w:p>
    <w:p>
      <w:r>
        <w:rPr>
          <w:color w:val="555555"/>
          <w:sz w:val="18"/>
        </w:rPr>
        <w:t xml:space="preserve">26. Erhaltungszielverordnung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Für das Gebiet von gemeinschaftlicher Bedeutung „Unteres Odertal“ ergeben sich gemäß § 32 Absatz 3 des Bundesnaturschutzgesetzes die Erhaltungsziele aus dem in Anlage 1 aufgeführten Nationalparkgesetz Unteres Odertal vom 9. November 2006. Die im Nationalpark zu schützenden Lebensraumtypen und Arten nach der Fauna-Flora-Habitat-Richtlinie sind in Anlage 3 des Nationalparkgesetzes Unteres Odertal benannt. Die Erhaltungsziele und die dafür erforderlichen Schutz-, Pflege- und Entwicklungsmaßnahmen werden im Nationalparkplan nach § 7 Absatz 2 des Nationalparkgesetzes Unteres Odertal festgelegt. Das im Gebiet anwendbare Nationalparkgesetz Unteres Odertal ist in Anlage 1 aufgeführt.</w:t>
      </w:r>
    </w:p>
    <w:p>
      <w:r>
        <w:t xml:space="preserve">(2) Für das Gebiet von gemeinschaftlicher Bedeutung „Koppelberg Altgalow“ ergeben sich gemäß § 32 Absatz 3 des Bundesnaturschutzgesetzes die Erhaltungsziele aus dem in Anlage 1 genannten natürlichen Lebensraumtyp von gemeinschaftlichem Interesse. In der Anlage 1 werden für das Gebiet die ökologischen Erfordernisse für einen günstigen Erhaltungszustand des natürlichen Lebensraumtyps nach Anhang I der Richtlinie 92/43/EWG beschrieben.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 26. ErhZV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https://recht.nulegal.eu/gesetze/26.%20ErhZV/2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