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21. ErhZV (Brandenburg) — Erhaltungsziele</w:t>
      </w:r>
    </w:p>
    <w:p>
      <w:r>
        <w:rPr>
          <w:color w:val="555555"/>
          <w:sz w:val="18"/>
        </w:rPr>
        <w:t xml:space="preserve">21.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in Anlage 1 genannten Gebiete von gemeinschaftlicher Bedeutung stehen unter besonderem Schutz. Erhaltungsziel für das jeweilige Gebiet ist die Erhaltung oder Wiederherstellung eines günstigen Erhaltungszustandes (§ 7 Absatz 1 Nummer 10 des Bundesnaturschutzgesetzes) der in Anlage 2 für das jeweilige Gebiet genannten natürlichen Lebensraumtypen oder Tier- und Pflanzenarten von gemeinschaftlichem Interesse. In den Anlagen 3 und 4 werden für die in Anlage 1 aufgeführten Gebiete die ökologischen Erfordernisse für einen günstigen Erhaltungszustand der natürlichen Lebensraumtypen nach Anhang I und der Tier- und Pflanzenarten nach Anhang II der Richtlinie 92/43/EWG beschrieben.</w:t>
      </w:r>
    </w:p>
    <w:p>
      <w:r>
        <w:t xml:space="preserve">(2) Soweit Gebiete von gemeinschaftlicher Bedeutung flächengleich mit dem in Anlage 2 aufgeführten Naturschutzgebiet „Belziger Landschaftswiesen“ sind, ergeben sich gemäß § 32 Absatz 3 des Bundesnaturschutzgesetzes die Erhaltungsziele aus der Verordnung über das Naturschutzgebiet. Die in den Gebieten jeweils anwendbare Schutzgebietsverordnung ist in Anlage 2 aufgeführt.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 21. ErhZV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https://recht.nulegal.eu/gesetze/21.%20ErhZV/2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