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2.GemGebRefGBbg (Brandenburg) — Bestätigung von Gemeindegebietsänderungen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35 des Vierten Gesetzes zur landesweiten</w:t>
      </w:r>
    </w:p>
    <w:p>
      <w:r>
        <w:t xml:space="preserve">Gemeindegebietsreform betreffend die Landkreise Havelland, Potsdam-Mittelmark,</w:t>
      </w:r>
    </w:p>
    <w:p>
      <w:r>
        <w:t xml:space="preserve">Teltow-Fläming gilt entsprechend.</w:t>
      </w:r>
    </w:p>
    <w:p>
      <w:r>
        <w:rPr>
          <w:color w:val="555555"/>
          <w:sz w:val="17"/>
        </w:rPr>
        <w:t xml:space="preserve">Zitiervorschlag: § 9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