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2.GemGebRefGBbg (Brandenburg) — Wahlbehörde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Wahlbehörde ist der Oberbürgermeister der kreisfreien</w:t>
      </w:r>
    </w:p>
    <w:p>
      <w:r>
        <w:t xml:space="preserve">Stadt. Wahlbehörde für die neu gebildete Gemeinde Neuhausen/ Spree</w:t>
      </w:r>
    </w:p>
    <w:p>
      <w:r>
        <w:t xml:space="preserve">ist der Hauptverwaltungsbeamte des Amtes Neuhausen/Spree. Dieser nimmt die</w:t>
      </w:r>
    </w:p>
    <w:p>
      <w:r>
        <w:t xml:space="preserve">Funktion als Wahlbehörde bis zum Amtsantritt des neu gewählten</w:t>
      </w:r>
    </w:p>
    <w:p>
      <w:r>
        <w:t xml:space="preserve">Hauptverwaltungsbeamten wahr.</w:t>
      </w:r>
    </w:p>
    <w:p>
      <w:r>
        <w:rPr>
          <w:color w:val="555555"/>
          <w:sz w:val="17"/>
        </w:rPr>
        <w:t xml:space="preserve">Zitiervorschlag: § 7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