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2.GemGebRefGBbg (Brandenburg) — Entsprechende Anwendung von Rechtsvorschriften</w:t>
      </w:r>
    </w:p>
    <w:p>
      <w:r>
        <w:rPr>
          <w:color w:val="555555"/>
          <w:sz w:val="18"/>
        </w:rPr>
        <w:t xml:space="preserve">Zweites Gesetz zur landesweiten Gemeindegebietsreform betreffend die kreisfreie Stadt Cottbus und das Amt Neuhausen/Spree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§§ 22, 23, 24, 25, 26, 27, 29 und 30 des Vierten</w:t>
      </w:r>
    </w:p>
    <w:p>
      <w:r>
        <w:t xml:space="preserve">Gesetzes zur landesweiten Gemeindegebietsreform betreffend die Landkreise</w:t>
      </w:r>
    </w:p>
    <w:p>
      <w:r>
        <w:t xml:space="preserve">Havelland, Potsdam-Mittelmark, Teltow-Fläming gelten entsprechend.</w:t>
      </w:r>
    </w:p>
    <w:p>
      <w:r>
        <w:rPr>
          <w:color w:val="555555"/>
          <w:sz w:val="17"/>
        </w:rPr>
        <w:t xml:space="preserve">Zitiervorschlag: § 4 2.GemGebRefGBbg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https://recht.nulegal.eu/gesetze/2.GemGebRefGBbg/4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