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2.GemGebRefGBbg (Brandenburg) — Rechtsnachfolge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neu gebildete Gemeinde ist Rechtsnachfolgerin der an der</w:t>
      </w:r>
    </w:p>
    <w:p>
      <w:r>
        <w:t xml:space="preserve">Gemeindeneubildung beteiligten Gemeinden. Die aufnehmende kreisfreie Stadt ist</w:t>
      </w:r>
    </w:p>
    <w:p>
      <w:r>
        <w:t xml:space="preserve">Rechtsnachfolgerin der eingegliederten Gemeinden.</w:t>
      </w:r>
    </w:p>
    <w:p>
      <w:r>
        <w:rPr>
          <w:color w:val="555555"/>
          <w:sz w:val="17"/>
        </w:rPr>
        <w:t xml:space="preserve">Zitiervorschlag: § 2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