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2.GemGebRefGBbg (Brandenburg) — In-Kraft-Treten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1 Abs.2 und 3 für nichtig erklärt durch</w:t>
      </w:r>
    </w:p>
    <w:p>
      <w:r>
        <w:t xml:space="preserve">Entscheidung des Verfassungsgerichts des Landes Brandenburg vom 24.03.2003</w:t>
      </w:r>
    </w:p>
    <w:p>
      <w:r>
        <w:t xml:space="preserve">(GVBl.I/03 S.288)</w:t>
      </w:r>
    </w:p>
    <w:p>
      <w:r>
        <w:rPr>
          <w:color w:val="555555"/>
          <w:sz w:val="17"/>
        </w:rPr>
        <w:t xml:space="preserve">Zitiervorschlag: § 11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