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2.GemGebRefGBbg (Brandenburg) — Kreisfreie Stadt Cottbus und Verwaltungseinheit Amt Neuhausen/Spree</w:t>
      </w:r>
    </w:p>
    <w:p>
      <w:r>
        <w:rPr>
          <w:color w:val="555555"/>
          <w:sz w:val="18"/>
        </w:rPr>
        <w:t xml:space="preserve">Zweites Gesetz zur landesweiten Gemeindegebietsreform betreffend die kreisfreie Stadt Cottbus und das Amt Neuhausen/Spree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Gemeinden Groß Gaglow, Gallinchen und Kiekebusch</w:t>
      </w:r>
    </w:p>
    <w:p>
      <w:r>
        <w:t xml:space="preserve">des Amtes Neuhausen/Spree, Landkreis Spree-Neiße, werden in die</w:t>
      </w:r>
    </w:p>
    <w:p>
      <w:r>
        <w:t xml:space="preserve">kreisfreie Stadt Cottbus eingegliedert.</w:t>
      </w:r>
    </w:p>
    <w:p>
      <w:r>
        <w:t xml:space="preserve">(2) Aus den Gemeinden Bagenz, Drieschnitz-Kahsel, Frauendorf,</w:t>
      </w:r>
    </w:p>
    <w:p>
      <w:r>
        <w:t xml:space="preserve">Gablenz, Haasow, Koppatz, Klein Döbbern, Kathlow, Groß Döbbern,</w:t>
      </w:r>
    </w:p>
    <w:p>
      <w:r>
        <w:t xml:space="preserve">Groß Oßnig, Laubsdorf, Komptendorf, Neuhausen Roggosen und Sergen</w:t>
      </w:r>
    </w:p>
    <w:p>
      <w:r>
        <w:t xml:space="preserve">des Amtes Neuhausen/Spree wird die neue Gemeinde Neuhausen/Spree gebildet.</w:t>
      </w:r>
    </w:p>
    <w:p>
      <w:r>
        <w:t xml:space="preserve">(3) Das Amt Neuhausen/Spree wird aufgelöst. Die neue</w:t>
      </w:r>
    </w:p>
    <w:p>
      <w:r>
        <w:t xml:space="preserve">Gemeinde Neuhausen/Spree ist amtsfrei.</w:t>
      </w:r>
    </w:p>
    <w:p>
      <w:r>
        <w:t xml:space="preserve">(4) Die Grenzen der kreisfreien Stadt Cottbus und des</w:t>
      </w:r>
    </w:p>
    <w:p>
      <w:r>
        <w:t xml:space="preserve">Landkreises Spree-Neiße werden entsprechend geändert.</w:t>
      </w:r>
    </w:p>
    <w:p>
      <w:r>
        <w:rPr>
          <w:color w:val="555555"/>
          <w:sz w:val="17"/>
        </w:rPr>
        <w:t xml:space="preserve">Zitiervorschlag: § 1 2.GemGebRefGBbg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https://recht.nulegal.eu/gesetze/2.GemGebRefGBbg/1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