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2.FremdverwAufhV (Brandenburg) — Inkrafttreten</w:t>
      </w:r>
    </w:p>
    <w:p>
      <w:r>
        <w:rPr>
          <w:color w:val="555555"/>
          <w:sz w:val="18"/>
        </w:rPr>
        <w:t xml:space="preserve">Zweite Fremdverwaltungsaufhebungsverordnung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14. August 1998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3 2.FremdverwAufhV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https://recht.nulegal.eu/gesetze/2.FremdverwAufhV/3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2.FremdverwAufhV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