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2.ExAufhV (Brandenburg) — In-Kraft-Treten</w:t>
      </w:r>
    </w:p>
    <w:p>
      <w:r>
        <w:rPr>
          <w:color w:val="555555"/>
          <w:sz w:val="18"/>
        </w:rPr>
        <w:t xml:space="preserve">Zweite Exklavenaufhebungsverordnung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Rechtsverordnung tritt am 1. Juli 2000 in Kraft.</w:t>
      </w:r>
    </w:p>
    <w:p>
      <w:r>
        <w:t xml:space="preserve">Potsdam, den 12. April 2000</w:t>
      </w:r>
    </w:p>
    <w:p>
      <w:r>
        <w:t xml:space="preserve">Der Minister des Innern</w:t>
      </w:r>
    </w:p>
    <w:p>
      <w:r>
        <w:t xml:space="preserve">Jörg Schönbohm</w:t>
      </w:r>
    </w:p>
    <w:p>
      <w:r>
        <w:rPr>
          <w:color w:val="555555"/>
          <w:sz w:val="17"/>
        </w:rPr>
        <w:t xml:space="preserve">Zitiervorschlag: § 3 2.ExAufhV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https://recht.nulegal.eu/gesetze/2.ExAufhV/3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