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2.ExAufhV (Brandenburg) — Rechtsfolgen</w:t>
      </w:r>
    </w:p>
    <w:p>
      <w:r>
        <w:rPr>
          <w:color w:val="555555"/>
          <w:sz w:val="18"/>
        </w:rPr>
        <w:t xml:space="preserve">Zweite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Vermögensauseinandersetzung findet zwischen den</w:t>
      </w:r>
    </w:p>
    <w:p>
      <w:r>
        <w:t xml:space="preserve">betroffenen Gemeinden nicht statt.</w:t>
      </w:r>
    </w:p>
    <w:p>
      <w:r>
        <w:t xml:space="preserve">(2) Mit Wirksamwerden der Verordnung gilt in den neu</w:t>
      </w:r>
    </w:p>
    <w:p>
      <w:r>
        <w:t xml:space="preserve">zugeordneten Gebieten das Ortsrecht der Gemeinde, der sie zugeordnet wurden.</w:t>
      </w:r>
    </w:p>
    <w:p>
      <w:r>
        <w:t xml:space="preserve">(3) Soweit für Rechte und Pflichten der Bürger die</w:t>
      </w:r>
    </w:p>
    <w:p>
      <w:r>
        <w:t xml:space="preserve">Dauer des Wohnens in einer Gemeinde maßgebend ist, gilt das</w:t>
      </w:r>
    </w:p>
    <w:p>
      <w:r>
        <w:t xml:space="preserve">ununterbrochene Wohnen in dem zugeordneten Gebiet als solches in der Gemeinde,</w:t>
      </w:r>
    </w:p>
    <w:p>
      <w:r>
        <w:t xml:space="preserve">der das Gebiet zugeordnet wird.</w:t>
      </w:r>
    </w:p>
    <w:p>
      <w:r>
        <w:rPr>
          <w:color w:val="555555"/>
          <w:sz w:val="17"/>
        </w:rPr>
        <w:t xml:space="preserve">Zitiervorschlag: § 2 2.ExAufhV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https://recht.nulegal.eu/gesetze/2.ExAufhV/2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