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2.ErhZV (Brandenburg) — Erhaltungsziele</w:t>
      </w:r>
    </w:p>
    <w:p>
      <w:r>
        <w:rPr>
          <w:color w:val="555555"/>
          <w:sz w:val="18"/>
        </w:rPr>
        <w:t xml:space="preserve">Zweite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Arten von gemeinschaftlichem Interesse. Die dafür allgemein erforderlichen ökologischen Erfordernisse werden in der Anlage 3 dargestellt.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2.ErhZV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https://recht.nulegal.eu/gesetze/2.ErhZV/2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