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2.ErhZV (Brandenburg) — Festsetzung</w:t>
      </w:r>
    </w:p>
    <w:p>
      <w:r>
        <w:rPr>
          <w:color w:val="555555"/>
          <w:sz w:val="18"/>
        </w:rPr>
        <w:t xml:space="preserve">Zweite Erhaltungszielverordnung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Anlage 1 aufgeführten und in Anlage 2 näher beschriebenen Gebiete werden gemäß Artikel 4 Absatz 4 der Richtlinie 92/43/ EWG als Gebiete von gemeinschaftlicher Bedeutung (§ 7 Absatz 1 Nummer 6 des Bundesnaturschutzgesetzes) in den in § 3 bestimmten Grenzen festgesetzt. Sie sind Teil des kohärenten europäischen ökologischen Netzes „Natura 2000“.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2.ErhZV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https://recht.nulegal.eu/gesetze/2.ErhZV/1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