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2.BbgRBG (Brandenburg)</w:t>
      </w:r>
    </w:p>
    <w:p>
      <w:r>
        <w:rPr>
          <w:color w:val="555555"/>
          <w:sz w:val="18"/>
        </w:rPr>
        <w:t xml:space="preserve">Zweites Brandenburgisches Rechtsbereinigungsgesetz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Anlage zu § 1 Abs. 1 des Ersten Brandenburgischen Rechtsbereinigungsgesetzes vom 3. September 1997 (GVBl. I S. 105) wird wie folgt geändert:</w:t>
      </w:r>
    </w:p>
    <w:p>
      <w:r>
        <w:t xml:space="preserve">Nummer 10 wird aufgehoben.</w:t>
      </w:r>
    </w:p>
    <w:p>
      <w:r>
        <w:rPr>
          <w:color w:val="555555"/>
          <w:sz w:val="17"/>
        </w:rPr>
        <w:t xml:space="preserve">Zitiervorschlag: § 4 2.BbgRBG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https://recht.nulegal.eu/gesetze/2.BbgRBG/4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