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2.BbgRBG (Brandenburg)</w:t>
      </w:r>
    </w:p>
    <w:p>
      <w:r>
        <w:rPr>
          <w:color w:val="555555"/>
          <w:sz w:val="18"/>
        </w:rPr>
        <w:t xml:space="preserve">Zweites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§ 1 aufgehobene Rechtsvorschriften bleiben auf die Rechtsverhältnisse und Tatbestände anwendbar, die während der Geltung der Rechtsvorschriften ganz oder zum Teil bestanden haben oder</w:t>
      </w:r>
    </w:p>
    <w:p>
      <w:r>
        <w:t xml:space="preserve">entstanden sind.</w:t>
      </w:r>
    </w:p>
    <w:p>
      <w:r>
        <w:rPr>
          <w:color w:val="555555"/>
          <w:sz w:val="17"/>
        </w:rPr>
        <w:t xml:space="preserve">Zitiervorschlag: § 3 2.BbgRBG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https://recht.nulegal.eu/gesetze/2.BbgRBG/3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