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2.BbgRBG (Brandenburg)</w:t>
      </w:r>
    </w:p>
    <w:p>
      <w:r>
        <w:rPr>
          <w:color w:val="555555"/>
          <w:sz w:val="18"/>
        </w:rPr>
        <w:t xml:space="preserve">Zweites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Recht der Deutschen Demokratischen Republik, das</w:t>
      </w:r>
    </w:p>
    <w:p>
      <w:r>
        <w:t xml:space="preserve">bis zum 5. Oktober 1955 von anderen Staatsgewalten gesetzt und zu Recht des Landes Brandenburg geworden ist und</w:t>
      </w:r>
    </w:p>
    <w:p>
      <w:r>
        <w:t xml:space="preserve">nur durch Gesetz oder Rechtsverordnung der Landesregierung oder ihrer Mitglieder geändert werden kann,</w:t>
      </w:r>
    </w:p>
    <w:p>
      <w:r>
        <w:t xml:space="preserve">tritt als Recht des Landes Brandenburg außer Kraft.</w:t>
      </w:r>
    </w:p>
    <w:p>
      <w:r>
        <w:rPr>
          <w:color w:val="555555"/>
          <w:sz w:val="17"/>
        </w:rPr>
        <w:t xml:space="preserve">Zitiervorschlag: § 1 2.BbgRBG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https://recht.nulegal.eu/gesetze/2.BbgRBG/1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