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2.AltschRefG (Brandenburg)</w:t>
      </w:r>
    </w:p>
    <w:p>
      <w:r>
        <w:rPr>
          <w:color w:val="555555"/>
          <w:sz w:val="18"/>
        </w:rPr>
        <w:t xml:space="preserve">Zweites Altschuldenrefinanzierungsgesetz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mit Wirkung vom 1. Januar 2005 in Kraft.</w:t>
      </w:r>
    </w:p>
    <w:p>
      <w:r>
        <w:t xml:space="preserve">Potsdam, den 17. Oktober 2005</w:t>
      </w:r>
    </w:p>
    <w:p>
      <w:r>
        <w:t xml:space="preserve">Der Präsident 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3 2.AltschRefG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https://recht.nulegal.eu/gesetze/2.AltschRefG/3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