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2. SächsRBG (Sachsen)</w:t>
      </w:r>
    </w:p>
    <w:p>
      <w:r>
        <w:rPr>
          <w:color w:val="555555"/>
          <w:sz w:val="18"/>
        </w:rPr>
        <w:t xml:space="preserve">Zweites Sächsisches Rechtsbereinigungsgesetz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6. Juni 2002</w:t>
      </w:r>
    </w:p>
    <w:p>
      <w:r>
        <w:rPr>
          <w:color w:val="555555"/>
          <w:sz w:val="17"/>
        </w:rPr>
        <w:t xml:space="preserve">Zitiervorschlag: Eingangsformel 2. SächsRBG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https://recht.nulegal.eu/gesetze/2.%20S%C3%A4chsRBG/eingangsformel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