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2. SächsRBG (Sachsen) — Fortgeltung für bestehende Rechtsverhältnisse</w:t>
      </w:r>
    </w:p>
    <w:p>
      <w:r>
        <w:rPr>
          <w:color w:val="555555"/>
          <w:sz w:val="18"/>
        </w:rPr>
        <w:t xml:space="preserve">Zweites Sächsisches Rechtsbereinigungsgesetz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Rechtsverhältnisse, die auf der Grundlage der nach § 1 aufgehobenen Rechtsvorschriften entstanden sind, bleiben unberührt. Das bisherige Recht bleibt insoweit weiterhin anzuwenden. Die bisherigen Verfahrensvorschriften gelten nur für vor dem In-Kraft-Treten dieses Gesetzes anhängig gewordene Verfahren.</w:t>
      </w:r>
    </w:p>
    <w:p>
      <w:r>
        <w:rPr>
          <w:color w:val="555555"/>
          <w:sz w:val="17"/>
        </w:rPr>
        <w:t xml:space="preserve">Zitiervorschlag: § 2 2. SächsRBG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https://recht.nulegal.eu/gesetze/2.%20S%C3%A4chsRBG/2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2. SächsRBG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