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1MEDIENAENDSTV (Brandenburg)</w:t>
      </w:r>
    </w:p>
    <w:p>
      <w:r>
        <w:rPr>
          <w:color w:val="555555"/>
          <w:sz w:val="18"/>
        </w:rPr>
        <w:t xml:space="preserve">Gesetz zum Ersten Staatsvertrag zur Änderung medienrechtlicher Staatsverträge (Erster Medienänderungsstaatsvertrag)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Staatsvertrag tritt nach seinem Artikel 2 Absatz 2 Satz 1 am 1. Januar 2021 in Kraft. Sollte der Staatsvertrag nach seinem Artikel 2 Absatz 2 Satz 2 gegenstandslos werden, ist dies unverzüglich im Gesetz- und Verordnungsblatt für das Land Brandenburg Teil I bekannt zu geben.</w:t>
      </w:r>
    </w:p>
    <w:p>
      <w:r>
        <w:t xml:space="preserve">Einzelnorm</w:t>
      </w:r>
    </w:p>
    <w:p>
      <w:r>
        <w:t xml:space="preserve">Potsdam, den 18. November 2020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Erster Staatsvertrag zur Änderung medienrechtlicher Staatsverträge (Erster Medienänderungsstaatsvertrag) ist gegenstandslos geworden ( GVBl.I/21 Nr. 2 )</w:t>
      </w:r>
    </w:p>
    <w:p>
      <w:r>
        <w:rPr>
          <w:color w:val="555555"/>
          <w:sz w:val="17"/>
        </w:rPr>
        <w:t xml:space="preserve">Zitiervorschlag: § 2 1MEDIENAENDSTV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https://recht.nulegal.eu/gesetze/1MEDIENAENDSTV/2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