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15. ErhZV (Brandenburg) — Inkrafttreten</w:t>
      </w:r>
    </w:p>
    <w:p>
      <w:r>
        <w:rPr>
          <w:color w:val="555555"/>
          <w:sz w:val="18"/>
        </w:rPr>
        <w:t xml:space="preserve">15.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18. Dezember 2017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 ABl. L 206 vom 22.7.1992, S. 7), die durch die Richtlinie 2013/17/ EU vom 13. Mai 2013 (ABl. L 158 vom 10.6.2013, S. 193) geändert worden ist.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Liste der Gebiete von gemeinschaftlicher Bedeutung 607.1 KB</w:t>
      </w:r>
    </w:p>
    <w:p>
      <w:r>
        <w:t xml:space="preserve">2</w:t>
      </w:r>
    </w:p>
    <w:p>
      <w:r>
        <w:t xml:space="preserve">Anlage 2 - Gebiete von gemeinschaftlicher Bedeutung 6.5 MB</w:t>
      </w:r>
    </w:p>
    <w:p>
      <w:r>
        <w:t xml:space="preserve">3</w:t>
      </w:r>
    </w:p>
    <w:p>
      <w:r>
        <w:t xml:space="preserve">Anlage 3 - Ökologische Erfordernisse für einen günstigen Erhaltungszustand der natürlichen Lebensraumtypen nach Anhang I der Richtlinie 92/43/EWG 665.6 KB</w:t>
      </w:r>
    </w:p>
    <w:p>
      <w:r>
        <w:t xml:space="preserve">4</w:t>
      </w:r>
    </w:p>
    <w:p>
      <w:r>
        <w:t xml:space="preserve">Anlage 4 - Ökologische Erfordernisse für einen günstigen Erhaltungszustand von Tier- und Pflanzenarten nach Anhang II der Richtlinie 92/43/EWG 677.8 KB</w:t>
      </w:r>
    </w:p>
    <w:p>
      <w:r>
        <w:t xml:space="preserve">5</w:t>
      </w:r>
    </w:p>
    <w:p>
      <w:r>
        <w:t xml:space="preserve">Anlage 5 - Übersichtskarte, Topografische Karten 670.6 KB</w:t>
      </w:r>
    </w:p>
    <w:p>
      <w:r>
        <w:rPr>
          <w:color w:val="555555"/>
          <w:sz w:val="17"/>
        </w:rPr>
        <w:t xml:space="preserve">Zitiervorschlag: § 4 15.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https://recht.nulegal.eu/gesetze/15.%20ErhZV/4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