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12. ErhZV (Brandenburg) — Festsetzung</w:t>
      </w:r>
    </w:p>
    <w:p>
      <w:r>
        <w:rPr>
          <w:color w:val="555555"/>
          <w:sz w:val="18"/>
        </w:rPr>
        <w:t xml:space="preserve">Zwölfte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in Anlage 1 aufgeführten und in Anlage 2 näher beschriebenen Gebiete werden gemäß Artikel 4 Absatz 4 der Richtlinie 92/43/EWG als Gebiete von gemeinschaftlicher Bedeutung (§ 7 Absatz 1 Nummer 6 des Bundesnaturschutzgesetzes) in den in § 3 bestimmten Grenzen festgesetzt. Sie sind Teil des kohärenten europäischen ökologischen Netzes „Natura 2000“ und liegen vollständig oder anteilig in den Landkreisen Havelland und Ostprignitz-Ruppin sowie in der kreisfreien Stadt Potsdam.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12. ErhZV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https://recht.nulegal.eu/gesetze/12.%20ErhZV/1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