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10. ErhZV (Brandenburg) — Festsetzung</w:t>
      </w:r>
    </w:p>
    <w:p>
      <w:r>
        <w:rPr>
          <w:color w:val="555555"/>
          <w:sz w:val="18"/>
        </w:rPr>
        <w:t xml:space="preserve">Zehnte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 Anlage 1 aufgeführten und in Anlage 2 näher beschriebenen Gebiete werden gemäß Artikel 4 Absatz 4 der Richtlinie 92/43/EWG als Gebiete von gemeinschaftlicher Bedeutung (§ 7 Absatz 1 Nummer 6 des Bundesnaturschutzgesetzes) in den in § 3 bestimmten Grenzen festgesetzt. Sie sind Teil des kohärenten europäischen ökologischen Netzes „Natura 2000“ und liegen vollständig oder anteilig im Naturpark Niederlausitzer Heidelandschaft.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10. ErhZV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https://recht.nulegal.eu/gesetze/10.%20ErhZV/1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