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1.GemGlG (Brandenburg) — Inkrafttreten</w:t>
      </w:r>
    </w:p>
    <w:p>
      <w:r>
        <w:rPr>
          <w:color w:val="555555"/>
          <w:sz w:val="18"/>
        </w:rPr>
        <w:t xml:space="preserve">Erstes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5 1.GemGlG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https://recht.nulegal.eu/gesetze/1.GemGlG/5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