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1.GemGlG (Brandenburg) — Eingliederung von Gemeinden in kreisfreie Städte</w:t>
      </w:r>
    </w:p>
    <w:p>
      <w:r>
        <w:rPr>
          <w:color w:val="555555"/>
          <w:sz w:val="18"/>
        </w:rPr>
        <w:t xml:space="preserve">Erstes Gemeindegliederungsgesetz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Folgende Gemeinden werden aufgelöst und in kreisfreie Städte</w:t>
      </w:r>
    </w:p>
    <w:p>
      <w:r>
        <w:t xml:space="preserve">eingegliedert:</w:t>
      </w:r>
    </w:p>
    <w:p>
      <w:r>
        <w:t xml:space="preserve">Eiche (Kreis Potsdam) in die Landeshauptstadt Potsdam,</w:t>
      </w:r>
    </w:p>
    <w:p>
      <w:r>
        <w:t xml:space="preserve">Göttin und Schmerzke (Kreis Brandenburg) in die Stadt Brandenburg,</w:t>
      </w:r>
    </w:p>
    <w:p>
      <w:r>
        <w:t xml:space="preserve">Diehlo (Kreis Eisenhüttenstadt) in die Stadt Eisenhüttenstadt,</w:t>
      </w:r>
    </w:p>
    <w:p>
      <w:r>
        <w:t xml:space="preserve">Kahren, Branitz, Dissenchen, Merzdorf, Döbbrick, Sielow und</w:t>
      </w:r>
    </w:p>
    <w:p>
      <w:r>
        <w:t xml:space="preserve">Willmersdorf (Kreis Cottbus) in die Stadt Cottbus,</w:t>
      </w:r>
    </w:p>
    <w:p>
      <w:r>
        <w:t xml:space="preserve">Kunow und Blumenhagen (Kreis Angermünde) in die Stadt Schwedt.</w:t>
      </w:r>
    </w:p>
    <w:p>
      <w:r>
        <w:t xml:space="preserve">(2) Die kreisfreien Städte sind Rechtsnachfolger der in sie</w:t>
      </w:r>
    </w:p>
    <w:p>
      <w:r>
        <w:t xml:space="preserve">eingegliederten Gemeinden. Eine Vermögensauseinandersetzung findet nicht</w:t>
      </w:r>
    </w:p>
    <w:p>
      <w:r>
        <w:t xml:space="preserve">statt. Das Ortsrecht einschließlich der Hauptsatzungen der kreisfreien</w:t>
      </w:r>
    </w:p>
    <w:p>
      <w:r>
        <w:t xml:space="preserve">Städte gilt vom Wirksamwerden der Eingliederung an auch für die</w:t>
      </w:r>
    </w:p>
    <w:p>
      <w:r>
        <w:t xml:space="preserve">eingegliederten Gemeinden. Bauleitpläne und grundstücksbezogene</w:t>
      </w:r>
    </w:p>
    <w:p>
      <w:r>
        <w:t xml:space="preserve">ortsrechtliche Regelungen der eingegliederten Gemeinden gelten als Ortsrecht</w:t>
      </w:r>
    </w:p>
    <w:p>
      <w:r>
        <w:t xml:space="preserve">der aufnehmenden Stadt fort.</w:t>
      </w:r>
    </w:p>
    <w:p>
      <w:r>
        <w:t xml:space="preserve">(3) Die von den Gemeinden Kunow und Blumenhagen mit der Stadt Schwedt</w:t>
      </w:r>
    </w:p>
    <w:p>
      <w:r>
        <w:t xml:space="preserve">geschlossenen Gebietsänderungsverträge werden bestätigt. Absatz</w:t>
      </w:r>
    </w:p>
    <w:p>
      <w:r>
        <w:t xml:space="preserve">2 Sätze 3 und 4 gelten nicht für Schwedt, Blumenhagen und Kunow.</w:t>
      </w:r>
    </w:p>
    <w:p>
      <w:r>
        <w:rPr>
          <w:color w:val="555555"/>
          <w:sz w:val="17"/>
        </w:rPr>
        <w:t xml:space="preserve">Zitiervorschlag: § 3 1.GemGlG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https://recht.nulegal.eu/gesetze/1.GemGlG/3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