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1.GemGlG (Brandenburg) — Eingliederung von kreisangehörigen Gemeinden in kreisangehörige Städte</w:t>
      </w:r>
    </w:p>
    <w:p>
      <w:r>
        <w:rPr>
          <w:color w:val="555555"/>
          <w:sz w:val="18"/>
        </w:rPr>
        <w:t xml:space="preserve">Erstes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Folgende kreisangehörige Gemeinden werden aufgelöst und in</w:t>
      </w:r>
    </w:p>
    <w:p>
      <w:r>
        <w:t xml:space="preserve">kreisangehörige Städte eingegliedert:</w:t>
      </w:r>
    </w:p>
    <w:p>
      <w:r>
        <w:t xml:space="preserve">Ruhlsdorf in die Stadt Teltow (Kreis Potsdam-Land),</w:t>
      </w:r>
    </w:p>
    <w:p>
      <w:r>
        <w:t xml:space="preserve">Seelübbe in die Stadt Prenzlau (Kreis Prenzlau),</w:t>
      </w:r>
    </w:p>
    <w:p>
      <w:r>
        <w:t xml:space="preserve">Bornow, Kohlsdorf, Krügersdorf, Oegeln und Schneeberg in die Stadt</w:t>
      </w:r>
    </w:p>
    <w:p>
      <w:r>
        <w:t xml:space="preserve">Beeskow (Kreis Beeskow),</w:t>
      </w:r>
    </w:p>
    <w:p>
      <w:r>
        <w:t xml:space="preserve">Sükow, Quitzow und Dergenthin in die Stadt Perleberg (Kreis</w:t>
      </w:r>
    </w:p>
    <w:p>
      <w:r>
        <w:t xml:space="preserve">Perleberg),</w:t>
      </w:r>
    </w:p>
    <w:p>
      <w:r>
        <w:t xml:space="preserve">Biesen und Babitz in die Stadt Wittstock (Kreis Wittstock),</w:t>
      </w:r>
    </w:p>
    <w:p>
      <w:r>
        <w:t xml:space="preserve">Dobra, Zeischa, Lausitz, Möglenz, Oschätzchen und Kosilenzien in</w:t>
      </w:r>
    </w:p>
    <w:p>
      <w:r>
        <w:t xml:space="preserve">die Stadt Bad Liebenwerda (Kreis Bad Liebenwerda).</w:t>
      </w:r>
    </w:p>
    <w:p>
      <w:r>
        <w:t xml:space="preserve">(2) Die aufnehmenden Städte sind Rechtsnachfolger der eingegliederten</w:t>
      </w:r>
    </w:p>
    <w:p>
      <w:r>
        <w:t xml:space="preserve">Gemeinden. Eine Vermögensauseinandersetzung findet nicht statt.</w:t>
      </w:r>
    </w:p>
    <w:p>
      <w:r>
        <w:t xml:space="preserve">(3) Mit dem Wirksamwerden der Eingliederungen tritt das Ortsrecht der</w:t>
      </w:r>
    </w:p>
    <w:p>
      <w:r>
        <w:t xml:space="preserve">eingegliederten Gemeinden außer Kraft. Das Ortsrecht der aufnehmenden</w:t>
      </w:r>
    </w:p>
    <w:p>
      <w:r>
        <w:t xml:space="preserve">Städte gilt dann für das gesamte neue Stadtgebiet. Bauleitpläne</w:t>
      </w:r>
    </w:p>
    <w:p>
      <w:r>
        <w:t xml:space="preserve">und grundstücksbezogenes Ortsrecht der eingegliederten Gemeinden gelten</w:t>
      </w:r>
    </w:p>
    <w:p>
      <w:r>
        <w:t xml:space="preserve">jedoch als Ortsrecht der aufnehmenden Städte so lange fort, bis sie von</w:t>
      </w:r>
    </w:p>
    <w:p>
      <w:r>
        <w:t xml:space="preserve">der neugewählten Stadtverordnetenversammlung geändert oder aufgehoben</w:t>
      </w:r>
    </w:p>
    <w:p>
      <w:r>
        <w:t xml:space="preserve">werden.</w:t>
      </w:r>
    </w:p>
    <w:p>
      <w:r>
        <w:t xml:space="preserve">(4) Der zwischen der Stadt Prenzlau und der Gemeinde Seelübbe</w:t>
      </w:r>
    </w:p>
    <w:p>
      <w:r>
        <w:t xml:space="preserve">geschlossene Gebietsänderungsvertrag wird mit der Maßgabe</w:t>
      </w:r>
    </w:p>
    <w:p>
      <w:r>
        <w:t xml:space="preserve">bestätigt, daß die Vorschriften dieses Gesetzes den</w:t>
      </w:r>
    </w:p>
    <w:p>
      <w:r>
        <w:t xml:space="preserve">Vertragsbestimmungen vorgehen.</w:t>
      </w:r>
    </w:p>
    <w:p>
      <w:r>
        <w:rPr>
          <w:color w:val="555555"/>
          <w:sz w:val="17"/>
        </w:rPr>
        <w:t xml:space="preserve">Zitiervorschlag: § 2 1.GemGlG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https://recht.nulegal.eu/gesetze/1.GemGlG/2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